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6FF2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C5C39D4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9236C95" w14:textId="2BF7CFE1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E81B5F" w:rsidRPr="00AA3797">
        <w:rPr>
          <w:rFonts w:eastAsia="Calibri" w:cs="Times New Roman"/>
          <w:b/>
          <w:color w:val="000000"/>
          <w:szCs w:val="24"/>
        </w:rPr>
        <w:t xml:space="preserve">DĖL VIENKARTINĖS, TIKSLINĖS, </w:t>
      </w:r>
      <w:r w:rsidR="00E81B5F">
        <w:rPr>
          <w:rFonts w:eastAsia="Calibri" w:cs="Times New Roman"/>
          <w:b/>
          <w:color w:val="000000"/>
          <w:szCs w:val="24"/>
        </w:rPr>
        <w:t xml:space="preserve">SĄLYGINĖS IR PERIODINĖS </w:t>
      </w:r>
      <w:r w:rsidR="00E81B5F" w:rsidRPr="00FE48B1">
        <w:rPr>
          <w:rFonts w:eastAsia="Calibri" w:cs="Times New Roman"/>
          <w:b/>
          <w:color w:val="000000"/>
          <w:szCs w:val="24"/>
        </w:rPr>
        <w:t>PAŠALPOS</w:t>
      </w:r>
      <w:r w:rsidR="00E81B5F" w:rsidRPr="00AA3797">
        <w:rPr>
          <w:rFonts w:eastAsia="Calibri" w:cs="Times New Roman"/>
          <w:b/>
          <w:color w:val="000000"/>
          <w:szCs w:val="24"/>
        </w:rPr>
        <w:t xml:space="preserve"> SKYRIMO IR MOKĖJIMO TVARKOS APRAŠO PATVIRTINIMO</w:t>
      </w:r>
      <w:r w:rsidR="0009587A" w:rsidRPr="001C2ACB">
        <w:rPr>
          <w:b/>
          <w:lang w:eastAsia="lt-LT"/>
        </w:rPr>
        <w:t>.</w:t>
      </w:r>
    </w:p>
    <w:p w14:paraId="4F095FA1" w14:textId="71E87050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E81B5F" w:rsidRPr="00CF15AA">
        <w:rPr>
          <w:rFonts w:cs="Times New Roman"/>
          <w:szCs w:val="24"/>
        </w:rPr>
        <w:t>Socialinės paramos ir sveik</w:t>
      </w:r>
      <w:r w:rsidR="00E81B5F">
        <w:rPr>
          <w:rFonts w:cs="Times New Roman"/>
          <w:szCs w:val="24"/>
        </w:rPr>
        <w:t>atos skyriaus vedėjo pavaduotoja Daiva Kilienė</w:t>
      </w:r>
      <w:r w:rsidR="0009587A">
        <w:rPr>
          <w:szCs w:val="24"/>
        </w:rPr>
        <w:t>.</w:t>
      </w:r>
    </w:p>
    <w:p w14:paraId="35A6729D" w14:textId="77777777" w:rsidR="001C5323" w:rsidRDefault="001C5323" w:rsidP="000A3D7A">
      <w:pPr>
        <w:suppressAutoHyphens/>
        <w:spacing w:line="240" w:lineRule="auto"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4D87C3AE" w14:textId="77777777" w:rsidR="001C5323" w:rsidRDefault="0009587A" w:rsidP="000A3D7A">
      <w:pPr>
        <w:suppressAutoHyphens/>
        <w:spacing w:line="240" w:lineRule="auto"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C6AD176" w14:textId="77777777" w:rsidR="001C5323" w:rsidRDefault="001C5323" w:rsidP="000A3D7A">
      <w:pPr>
        <w:spacing w:line="240" w:lineRule="auto"/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58F2813E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A551E95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3"/>
        <w:gridCol w:w="2684"/>
        <w:gridCol w:w="2110"/>
        <w:gridCol w:w="1770"/>
      </w:tblGrid>
      <w:tr w:rsidR="00011556" w:rsidRPr="00011556" w14:paraId="72297690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5E832C05" w14:textId="77777777" w:rsidR="00011556" w:rsidRPr="000A3D7A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A3D7A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93C9940" w14:textId="77777777" w:rsidR="00011556" w:rsidRPr="000A3D7A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A3D7A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54D0197F" w14:textId="77777777" w:rsidR="00011556" w:rsidRPr="000A3D7A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 w:rsidRPr="000A3D7A">
              <w:rPr>
                <w:bCs/>
                <w:sz w:val="22"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4E6EF088" w14:textId="77777777" w:rsidR="00011556" w:rsidRPr="000A3D7A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A3D7A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110E719E" w14:textId="77777777" w:rsidR="00011556" w:rsidRPr="000A3D7A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A3D7A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33063A5" w14:textId="77777777" w:rsidTr="00C224F1">
        <w:trPr>
          <w:trHeight w:val="23"/>
        </w:trPr>
        <w:tc>
          <w:tcPr>
            <w:tcW w:w="588" w:type="dxa"/>
          </w:tcPr>
          <w:p w14:paraId="3BB66D0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0822D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7D0D783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8CA8D2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5D961F0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2623B2B4" w14:textId="77777777" w:rsidTr="00C224F1">
        <w:trPr>
          <w:trHeight w:val="23"/>
        </w:trPr>
        <w:tc>
          <w:tcPr>
            <w:tcW w:w="588" w:type="dxa"/>
          </w:tcPr>
          <w:p w14:paraId="526B9B90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053BCF5D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28ED369" w14:textId="1C06A2F4" w:rsidR="003F2152" w:rsidRPr="00442BD4" w:rsidRDefault="00D52AF4" w:rsidP="00442BD4">
            <w:pPr>
              <w:suppressAutoHyphens/>
              <w:jc w:val="center"/>
              <w:textAlignment w:val="baseline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bCs/>
                <w:sz w:val="22"/>
                <w:lang w:eastAsia="lt-LT"/>
              </w:rPr>
              <w:t>Projektas nesudaro išskirtinių ar nevienodų sąlygų subjektams.</w:t>
            </w:r>
            <w:r w:rsidR="00442BD4">
              <w:rPr>
                <w:bCs/>
                <w:sz w:val="22"/>
                <w:lang w:eastAsia="lt-LT"/>
              </w:rPr>
              <w:t xml:space="preserve"> </w:t>
            </w:r>
            <w:r w:rsidRPr="00442BD4">
              <w:rPr>
                <w:bCs/>
                <w:sz w:val="22"/>
                <w:lang w:eastAsia="lt-LT"/>
              </w:rPr>
              <w:t>Pastabų nėra.</w:t>
            </w:r>
          </w:p>
        </w:tc>
        <w:tc>
          <w:tcPr>
            <w:tcW w:w="2182" w:type="dxa"/>
          </w:tcPr>
          <w:p w14:paraId="1C515EEE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78B386A2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1A40DB3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263886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653565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6515DD1" w14:textId="77777777" w:rsidTr="00C224F1">
        <w:trPr>
          <w:trHeight w:val="23"/>
        </w:trPr>
        <w:tc>
          <w:tcPr>
            <w:tcW w:w="588" w:type="dxa"/>
          </w:tcPr>
          <w:p w14:paraId="428B633B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786A9EF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D61E724" w14:textId="010F1ADC" w:rsidR="00011556" w:rsidRPr="00442BD4" w:rsidRDefault="00D52AF4" w:rsidP="00442BD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Siūlomas reglamentavimas aiškus, nėra spragų, kurios sudarytų sąlygas dviprasmiškai aiškinti ir taikyti teisės aktą. Pastabų nėra.</w:t>
            </w:r>
          </w:p>
        </w:tc>
        <w:tc>
          <w:tcPr>
            <w:tcW w:w="2182" w:type="dxa"/>
          </w:tcPr>
          <w:p w14:paraId="1FED0F8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7A1B9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B805BD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AFDD3A2" w14:textId="77777777" w:rsidTr="00C224F1">
        <w:trPr>
          <w:trHeight w:val="23"/>
        </w:trPr>
        <w:tc>
          <w:tcPr>
            <w:tcW w:w="588" w:type="dxa"/>
          </w:tcPr>
          <w:p w14:paraId="3A88F2AB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2D2587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4A99D9D3" w14:textId="2CAFB323" w:rsidR="007C3036" w:rsidRPr="00A52479" w:rsidRDefault="00A52479" w:rsidP="00442B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A52479">
              <w:rPr>
                <w:sz w:val="22"/>
                <w:lang w:eastAsia="lt-LT"/>
              </w:rPr>
              <w:t>S</w:t>
            </w:r>
            <w:r w:rsidR="007C3036" w:rsidRPr="00A52479">
              <w:rPr>
                <w:sz w:val="22"/>
                <w:lang w:eastAsia="lt-LT"/>
              </w:rPr>
              <w:t>prendim</w:t>
            </w:r>
            <w:r w:rsidRPr="00A52479">
              <w:rPr>
                <w:sz w:val="22"/>
                <w:lang w:eastAsia="lt-LT"/>
              </w:rPr>
              <w:t xml:space="preserve">ą dėl </w:t>
            </w:r>
            <w:r w:rsidRPr="00A52479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 xml:space="preserve">vienkartinės, </w:t>
            </w:r>
            <w:r w:rsidRPr="00A52479">
              <w:rPr>
                <w:rFonts w:eastAsia="Times New Roman" w:cs="Times New Roman"/>
                <w:color w:val="000000"/>
                <w:sz w:val="22"/>
              </w:rPr>
              <w:t xml:space="preserve">tikslinės, periodinės, sąlyginės </w:t>
            </w:r>
            <w:r w:rsidRPr="00A52479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 xml:space="preserve">pašalpos skyrimo (neskyrimo) priima meras, atsižvelgęs į </w:t>
            </w:r>
            <w:r w:rsidRPr="00A52479">
              <w:rPr>
                <w:rFonts w:eastAsia="Times New Roman" w:cs="Times New Roman"/>
                <w:sz w:val="22"/>
              </w:rPr>
              <w:t>Rokiškio rajono savivaldybės piniginės socialinės paramos teikimo komisijos protokolinį sprendimą</w:t>
            </w:r>
            <w:r w:rsidR="007C3036" w:rsidRPr="00A52479">
              <w:rPr>
                <w:sz w:val="22"/>
                <w:lang w:eastAsia="lt-LT"/>
              </w:rPr>
              <w:t>.</w:t>
            </w:r>
            <w:r w:rsidRPr="00A52479">
              <w:rPr>
                <w:sz w:val="22"/>
                <w:lang w:eastAsia="lt-LT"/>
              </w:rPr>
              <w:t xml:space="preserve"> P</w:t>
            </w:r>
            <w:r w:rsidRPr="00A52479">
              <w:rPr>
                <w:rFonts w:eastAsia="Calibri" w:cs="Times New Roman"/>
                <w:bCs/>
                <w:color w:val="000000"/>
                <w:sz w:val="22"/>
              </w:rPr>
              <w:t xml:space="preserve">ašalpų skyrimo ir mokėjimo kontrolę vykdo </w:t>
            </w:r>
            <w:r w:rsidRPr="00A52479">
              <w:rPr>
                <w:rFonts w:eastAsia="Calibri" w:cs="Times New Roman"/>
                <w:bCs/>
                <w:color w:val="000000"/>
                <w:sz w:val="22"/>
              </w:rPr>
              <w:lastRenderedPageBreak/>
              <w:t>Socialinės paramos ir sveikatos skyriaus vedėjas.</w:t>
            </w:r>
          </w:p>
          <w:p w14:paraId="0B465DC1" w14:textId="343A5523" w:rsidR="003F2152" w:rsidRPr="00A52479" w:rsidRDefault="007C3036" w:rsidP="00442B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A52479">
              <w:rPr>
                <w:rFonts w:eastAsia="Times New Roman" w:cs="Times New Roman"/>
                <w:sz w:val="22"/>
                <w:lang w:eastAsia="lt-LT"/>
              </w:rPr>
              <w:t>Savivaldybės administracinę priežiūrą atlieka Lietuvos Respublikos Vyriausybės atstovas.</w:t>
            </w:r>
          </w:p>
        </w:tc>
        <w:tc>
          <w:tcPr>
            <w:tcW w:w="2182" w:type="dxa"/>
          </w:tcPr>
          <w:p w14:paraId="25877062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57EF2D1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DA12B1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FFFC8B0" w14:textId="77777777" w:rsidTr="00C224F1">
        <w:trPr>
          <w:trHeight w:val="23"/>
        </w:trPr>
        <w:tc>
          <w:tcPr>
            <w:tcW w:w="588" w:type="dxa"/>
          </w:tcPr>
          <w:p w14:paraId="76ACF15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63B3DB2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05EADF01" w14:textId="238D4094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Projekte subjektams nustatyti įgaliojimai (teisės) atitinka subjektų atliekamas funkcijas (pareigas). Pastabų nėra.</w:t>
            </w:r>
          </w:p>
        </w:tc>
        <w:tc>
          <w:tcPr>
            <w:tcW w:w="2182" w:type="dxa"/>
          </w:tcPr>
          <w:p w14:paraId="1E79E4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4208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14B47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1F8FDAA6" w14:textId="77777777" w:rsidTr="00C224F1">
        <w:trPr>
          <w:trHeight w:val="23"/>
        </w:trPr>
        <w:tc>
          <w:tcPr>
            <w:tcW w:w="588" w:type="dxa"/>
          </w:tcPr>
          <w:p w14:paraId="62C2C23B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4A23769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E349927" w14:textId="2C6781AC" w:rsidR="003F2152" w:rsidRPr="00442BD4" w:rsidRDefault="00A52479" w:rsidP="0076752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Nustatytas</w:t>
            </w:r>
          </w:p>
        </w:tc>
        <w:tc>
          <w:tcPr>
            <w:tcW w:w="2182" w:type="dxa"/>
          </w:tcPr>
          <w:p w14:paraId="02E43720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82384D2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5AB16A0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F391471" w14:textId="77777777" w:rsidTr="00C224F1">
        <w:trPr>
          <w:trHeight w:val="23"/>
        </w:trPr>
        <w:tc>
          <w:tcPr>
            <w:tcW w:w="588" w:type="dxa"/>
          </w:tcPr>
          <w:p w14:paraId="6CC3D76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02ADCF0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776AB348" w14:textId="1293108C" w:rsidR="00011556" w:rsidRPr="00442BD4" w:rsidRDefault="00A52479" w:rsidP="00810DD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536CD8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1A85C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F4AA6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D81EE4D" w14:textId="77777777" w:rsidTr="00C224F1">
        <w:trPr>
          <w:trHeight w:val="492"/>
        </w:trPr>
        <w:tc>
          <w:tcPr>
            <w:tcW w:w="588" w:type="dxa"/>
          </w:tcPr>
          <w:p w14:paraId="4BD21EA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56EEB0ED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1E066026" w14:textId="3A9B19FB" w:rsidR="00011556" w:rsidRPr="00442BD4" w:rsidRDefault="00A52479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75A342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33871B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77062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3ECE60D" w14:textId="77777777" w:rsidTr="00C224F1">
        <w:trPr>
          <w:trHeight w:val="23"/>
        </w:trPr>
        <w:tc>
          <w:tcPr>
            <w:tcW w:w="588" w:type="dxa"/>
          </w:tcPr>
          <w:p w14:paraId="6C9FDE9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C2BC9F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46EF9A57" w14:textId="79B0C3AC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7100C96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63A7CE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CD6B5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49E208" w14:textId="77777777" w:rsidTr="00C224F1">
        <w:trPr>
          <w:trHeight w:val="23"/>
        </w:trPr>
        <w:tc>
          <w:tcPr>
            <w:tcW w:w="588" w:type="dxa"/>
          </w:tcPr>
          <w:p w14:paraId="1242664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185983D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D227EE1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F6A600B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dalis, užtikrinanti tinkamą atstovavimą valstybės interesams ir kolegialaus sprendimus priimančio subjekto veiklos objektyvumą ir skaidrumą;</w:t>
            </w:r>
          </w:p>
          <w:p w14:paraId="5EF36BD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3B7C51C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B5AD84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5727D5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E2791A7" w14:textId="7AC5D2BA" w:rsidR="004D2ADD" w:rsidRPr="00442BD4" w:rsidRDefault="004D2ADD" w:rsidP="004D2ADD">
            <w:pPr>
              <w:jc w:val="center"/>
              <w:rPr>
                <w:sz w:val="22"/>
              </w:rPr>
            </w:pPr>
            <w:r w:rsidRPr="00442BD4">
              <w:rPr>
                <w:sz w:val="22"/>
              </w:rPr>
              <w:lastRenderedPageBreak/>
              <w:t xml:space="preserve">Sprendimą </w:t>
            </w:r>
            <w:r w:rsidR="007C3036" w:rsidRPr="00442BD4">
              <w:rPr>
                <w:sz w:val="22"/>
              </w:rPr>
              <w:t xml:space="preserve">priima Savivaldybės </w:t>
            </w:r>
            <w:r w:rsidR="00A52479">
              <w:rPr>
                <w:sz w:val="22"/>
              </w:rPr>
              <w:t>meras</w:t>
            </w:r>
          </w:p>
          <w:p w14:paraId="3F0B7E86" w14:textId="77777777" w:rsidR="00011556" w:rsidRPr="00442BD4" w:rsidRDefault="00011556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182" w:type="dxa"/>
          </w:tcPr>
          <w:p w14:paraId="37019FC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45AE7D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7BE6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1945C2" w14:textId="77777777" w:rsidTr="00C224F1">
        <w:trPr>
          <w:trHeight w:val="23"/>
        </w:trPr>
        <w:tc>
          <w:tcPr>
            <w:tcW w:w="588" w:type="dxa"/>
          </w:tcPr>
          <w:p w14:paraId="5771291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B415B0D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054ECE74" w14:textId="04A172AB" w:rsidR="00011556" w:rsidRPr="00442BD4" w:rsidRDefault="00442BD4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Numatytos procedūros yra būtinos, nustatyta išsami jų taikymo tvarka. Pastabų nėra.</w:t>
            </w:r>
          </w:p>
        </w:tc>
        <w:tc>
          <w:tcPr>
            <w:tcW w:w="2182" w:type="dxa"/>
          </w:tcPr>
          <w:p w14:paraId="3B52EB9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725DE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C531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A108094" w14:textId="77777777" w:rsidTr="00C224F1">
        <w:trPr>
          <w:trHeight w:val="23"/>
        </w:trPr>
        <w:tc>
          <w:tcPr>
            <w:tcW w:w="588" w:type="dxa"/>
          </w:tcPr>
          <w:p w14:paraId="7E961C8F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FD29F2C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E313354" w14:textId="7E6D08B7" w:rsidR="00011556" w:rsidRPr="00442BD4" w:rsidRDefault="00A52479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Tokie atvejai nenumatyti</w:t>
            </w:r>
          </w:p>
        </w:tc>
        <w:tc>
          <w:tcPr>
            <w:tcW w:w="2182" w:type="dxa"/>
          </w:tcPr>
          <w:p w14:paraId="308AD6E9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6387B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A5AD7A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B9CAB7F" w14:textId="77777777" w:rsidTr="00C224F1">
        <w:trPr>
          <w:trHeight w:val="23"/>
        </w:trPr>
        <w:tc>
          <w:tcPr>
            <w:tcW w:w="588" w:type="dxa"/>
          </w:tcPr>
          <w:p w14:paraId="1621963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18C9DC4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A8D1D41" w14:textId="6D498587" w:rsidR="00011556" w:rsidRPr="00442BD4" w:rsidRDefault="00A52479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Nustato</w:t>
            </w:r>
          </w:p>
        </w:tc>
        <w:tc>
          <w:tcPr>
            <w:tcW w:w="2182" w:type="dxa"/>
          </w:tcPr>
          <w:p w14:paraId="02A811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4A76E3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63B4A4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8E8C031" w14:textId="77777777" w:rsidTr="00C224F1">
        <w:trPr>
          <w:trHeight w:val="23"/>
        </w:trPr>
        <w:tc>
          <w:tcPr>
            <w:tcW w:w="588" w:type="dxa"/>
          </w:tcPr>
          <w:p w14:paraId="546BF67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4CDA6AB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723C3575" w14:textId="10661C6E" w:rsidR="00011556" w:rsidRPr="00442BD4" w:rsidRDefault="00A52479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0ADBC0F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5A5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132E7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7B9897AC" w14:textId="77777777" w:rsidTr="00C224F1">
        <w:trPr>
          <w:trHeight w:val="23"/>
        </w:trPr>
        <w:tc>
          <w:tcPr>
            <w:tcW w:w="588" w:type="dxa"/>
          </w:tcPr>
          <w:p w14:paraId="742200B3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5781B841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6867EBD" w14:textId="77777777" w:rsidR="00C224F1" w:rsidRPr="00442BD4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10B8EC6F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15314A6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B4BF23C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C3B9DA6" w14:textId="77777777" w:rsidTr="00C224F1">
        <w:trPr>
          <w:trHeight w:val="23"/>
        </w:trPr>
        <w:tc>
          <w:tcPr>
            <w:tcW w:w="588" w:type="dxa"/>
          </w:tcPr>
          <w:p w14:paraId="27FFA45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15.</w:t>
            </w:r>
          </w:p>
        </w:tc>
        <w:tc>
          <w:tcPr>
            <w:tcW w:w="2416" w:type="dxa"/>
          </w:tcPr>
          <w:p w14:paraId="154F4A3C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1DDFA9FA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Kontrolės (priežiūros) skaidrumo ir objektyvumo užtikrinimo priemonės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888AEE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EAB31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89EB9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1C9A65" w14:textId="77777777" w:rsidTr="00C224F1">
        <w:trPr>
          <w:trHeight w:val="23"/>
        </w:trPr>
        <w:tc>
          <w:tcPr>
            <w:tcW w:w="588" w:type="dxa"/>
          </w:tcPr>
          <w:p w14:paraId="461BE57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373EB8F5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7C4A67B7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4D79DA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6B022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1C34A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527A2A9" w14:textId="77777777" w:rsidTr="00C224F1">
        <w:trPr>
          <w:trHeight w:val="23"/>
        </w:trPr>
        <w:tc>
          <w:tcPr>
            <w:tcW w:w="588" w:type="dxa"/>
          </w:tcPr>
          <w:p w14:paraId="735C0994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CE85A65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E09042" w14:textId="5D93E32D" w:rsidR="00011556" w:rsidRPr="004F6552" w:rsidRDefault="00A52479" w:rsidP="004F65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Calibri"/>
                <w:sz w:val="22"/>
              </w:rPr>
              <w:t>Nenustatyta</w:t>
            </w:r>
          </w:p>
        </w:tc>
        <w:tc>
          <w:tcPr>
            <w:tcW w:w="2182" w:type="dxa"/>
          </w:tcPr>
          <w:p w14:paraId="0A0B1D5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770E1D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094525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1FB10FC" w14:textId="77777777" w:rsidTr="00C224F1">
        <w:trPr>
          <w:trHeight w:val="23"/>
        </w:trPr>
        <w:tc>
          <w:tcPr>
            <w:tcW w:w="588" w:type="dxa"/>
          </w:tcPr>
          <w:p w14:paraId="5C97D2C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477E34FF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4FC3FB85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C94F1D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0E746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A93C5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4D9F2D0" w14:textId="77777777" w:rsidTr="00C224F1">
        <w:trPr>
          <w:trHeight w:val="23"/>
        </w:trPr>
        <w:tc>
          <w:tcPr>
            <w:tcW w:w="588" w:type="dxa"/>
          </w:tcPr>
          <w:p w14:paraId="57C7732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99996A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4366030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514D62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6838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85D0D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844B69B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EC9F19C" w14:textId="77777777" w:rsidTr="00D0108A">
        <w:trPr>
          <w:trHeight w:val="23"/>
        </w:trPr>
        <w:tc>
          <w:tcPr>
            <w:tcW w:w="2457" w:type="dxa"/>
          </w:tcPr>
          <w:p w14:paraId="3F1E36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50F06A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C7DE6EB" w14:textId="77777777" w:rsidR="00011556" w:rsidRPr="004F6552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75108116" w14:textId="4C4C7D8C" w:rsidR="00B54B87" w:rsidRPr="000A3D7A" w:rsidRDefault="00A52479" w:rsidP="00767521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0A3D7A">
              <w:rPr>
                <w:rFonts w:cs="Times New Roman"/>
                <w:sz w:val="22"/>
              </w:rPr>
              <w:t>Socialinės paramos ir sveikatos skyriaus vedėjo pavaduotoja Daiva Kilienė</w:t>
            </w:r>
          </w:p>
        </w:tc>
        <w:tc>
          <w:tcPr>
            <w:tcW w:w="2434" w:type="dxa"/>
          </w:tcPr>
          <w:p w14:paraId="153520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22424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8E96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C22D173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B05F563" w14:textId="77777777" w:rsidTr="00D0108A">
        <w:trPr>
          <w:trHeight w:val="23"/>
        </w:trPr>
        <w:tc>
          <w:tcPr>
            <w:tcW w:w="2457" w:type="dxa"/>
          </w:tcPr>
          <w:p w14:paraId="1446B6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7D15BBF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5B99A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C6F0B01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A7B126D" w14:textId="77777777" w:rsidTr="00D0108A">
        <w:trPr>
          <w:trHeight w:val="23"/>
        </w:trPr>
        <w:tc>
          <w:tcPr>
            <w:tcW w:w="2457" w:type="dxa"/>
          </w:tcPr>
          <w:p w14:paraId="6EA3B0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8B721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47ACD34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61F1E8E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2E3FF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FC1807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1D6B5A7C" w14:textId="030DCBD7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767521">
              <w:rPr>
                <w:rFonts w:eastAsia="Times New Roman" w:cs="Times New Roman"/>
                <w:sz w:val="22"/>
                <w:lang w:eastAsia="lt-LT"/>
              </w:rPr>
              <w:t>202</w:t>
            </w:r>
            <w:r w:rsidR="00A52479">
              <w:rPr>
                <w:rFonts w:eastAsia="Times New Roman" w:cs="Times New Roman"/>
                <w:sz w:val="22"/>
                <w:lang w:eastAsia="lt-LT"/>
              </w:rPr>
              <w:t>4-01-15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</w:p>
        </w:tc>
      </w:tr>
      <w:tr w:rsidR="00011556" w:rsidRPr="00011556" w14:paraId="55B48A29" w14:textId="77777777" w:rsidTr="00D0108A">
        <w:trPr>
          <w:trHeight w:val="23"/>
        </w:trPr>
        <w:tc>
          <w:tcPr>
            <w:tcW w:w="2457" w:type="dxa"/>
          </w:tcPr>
          <w:p w14:paraId="1E7EAF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7D10213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D6C0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FB31EE2" w14:textId="1CECB34A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0A251A5E" w14:textId="77777777" w:rsidR="00AC37BC" w:rsidRDefault="00AC37BC" w:rsidP="000A3D7A"/>
    <w:sectPr w:rsidR="00AC37BC" w:rsidSect="004C09F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A8E8" w14:textId="77777777" w:rsidR="004C09F5" w:rsidRDefault="004C09F5" w:rsidP="00011556">
      <w:pPr>
        <w:spacing w:after="0" w:line="240" w:lineRule="auto"/>
      </w:pPr>
      <w:r>
        <w:separator/>
      </w:r>
    </w:p>
  </w:endnote>
  <w:endnote w:type="continuationSeparator" w:id="0">
    <w:p w14:paraId="472F53D3" w14:textId="77777777" w:rsidR="004C09F5" w:rsidRDefault="004C09F5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AD53" w14:textId="77777777" w:rsidR="004C09F5" w:rsidRDefault="004C09F5" w:rsidP="00011556">
      <w:pPr>
        <w:spacing w:after="0" w:line="240" w:lineRule="auto"/>
      </w:pPr>
      <w:r>
        <w:separator/>
      </w:r>
    </w:p>
  </w:footnote>
  <w:footnote w:type="continuationSeparator" w:id="0">
    <w:p w14:paraId="384B32A2" w14:textId="77777777" w:rsidR="004C09F5" w:rsidRDefault="004C09F5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0A3D7A"/>
    <w:rsid w:val="00186256"/>
    <w:rsid w:val="00197535"/>
    <w:rsid w:val="001C1E81"/>
    <w:rsid w:val="001C2ACB"/>
    <w:rsid w:val="001C4716"/>
    <w:rsid w:val="001C5323"/>
    <w:rsid w:val="001D20BD"/>
    <w:rsid w:val="0025610A"/>
    <w:rsid w:val="002714FD"/>
    <w:rsid w:val="002932A0"/>
    <w:rsid w:val="002C2E47"/>
    <w:rsid w:val="002E39C0"/>
    <w:rsid w:val="002F4397"/>
    <w:rsid w:val="002F793F"/>
    <w:rsid w:val="002F79DE"/>
    <w:rsid w:val="00363211"/>
    <w:rsid w:val="0038177D"/>
    <w:rsid w:val="00386C41"/>
    <w:rsid w:val="00394843"/>
    <w:rsid w:val="003B6913"/>
    <w:rsid w:val="003C6AA1"/>
    <w:rsid w:val="003D574F"/>
    <w:rsid w:val="003F2152"/>
    <w:rsid w:val="003F4018"/>
    <w:rsid w:val="00442BD4"/>
    <w:rsid w:val="00450999"/>
    <w:rsid w:val="004723EB"/>
    <w:rsid w:val="00481571"/>
    <w:rsid w:val="00487FAB"/>
    <w:rsid w:val="004917FA"/>
    <w:rsid w:val="0049411D"/>
    <w:rsid w:val="004A1533"/>
    <w:rsid w:val="004A34A0"/>
    <w:rsid w:val="004A726D"/>
    <w:rsid w:val="004C09F5"/>
    <w:rsid w:val="004D2ADD"/>
    <w:rsid w:val="004F1728"/>
    <w:rsid w:val="004F6552"/>
    <w:rsid w:val="005534A2"/>
    <w:rsid w:val="00560152"/>
    <w:rsid w:val="005679C9"/>
    <w:rsid w:val="00584C4D"/>
    <w:rsid w:val="0059305B"/>
    <w:rsid w:val="005E3BDE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67521"/>
    <w:rsid w:val="00777FAE"/>
    <w:rsid w:val="00786DD8"/>
    <w:rsid w:val="007A2DE7"/>
    <w:rsid w:val="007C3036"/>
    <w:rsid w:val="008103F7"/>
    <w:rsid w:val="00810DDA"/>
    <w:rsid w:val="00816FA6"/>
    <w:rsid w:val="0084234F"/>
    <w:rsid w:val="008472B5"/>
    <w:rsid w:val="008830CE"/>
    <w:rsid w:val="00892ECD"/>
    <w:rsid w:val="00897691"/>
    <w:rsid w:val="008C4141"/>
    <w:rsid w:val="00916871"/>
    <w:rsid w:val="00977F7D"/>
    <w:rsid w:val="0099391C"/>
    <w:rsid w:val="009A2C77"/>
    <w:rsid w:val="009A7497"/>
    <w:rsid w:val="009E4910"/>
    <w:rsid w:val="00A30F9C"/>
    <w:rsid w:val="00A43731"/>
    <w:rsid w:val="00A52479"/>
    <w:rsid w:val="00A652BD"/>
    <w:rsid w:val="00A866FD"/>
    <w:rsid w:val="00AA37CC"/>
    <w:rsid w:val="00AB7464"/>
    <w:rsid w:val="00AC37BC"/>
    <w:rsid w:val="00AE03A3"/>
    <w:rsid w:val="00B05163"/>
    <w:rsid w:val="00B0702F"/>
    <w:rsid w:val="00B10B52"/>
    <w:rsid w:val="00B221AC"/>
    <w:rsid w:val="00B54B87"/>
    <w:rsid w:val="00B923A4"/>
    <w:rsid w:val="00BD0324"/>
    <w:rsid w:val="00BF4852"/>
    <w:rsid w:val="00BF567B"/>
    <w:rsid w:val="00C0159D"/>
    <w:rsid w:val="00C224F1"/>
    <w:rsid w:val="00C43F54"/>
    <w:rsid w:val="00C52EE5"/>
    <w:rsid w:val="00CA5F80"/>
    <w:rsid w:val="00CD46E3"/>
    <w:rsid w:val="00CF2EC4"/>
    <w:rsid w:val="00CF576B"/>
    <w:rsid w:val="00D07258"/>
    <w:rsid w:val="00D43BF1"/>
    <w:rsid w:val="00D52440"/>
    <w:rsid w:val="00D52AF4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81B5F"/>
    <w:rsid w:val="00EB1AE4"/>
    <w:rsid w:val="00EC0872"/>
    <w:rsid w:val="00ED41F7"/>
    <w:rsid w:val="00ED669A"/>
    <w:rsid w:val="00F23F95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28E"/>
  <w15:docId w15:val="{7B73409A-524C-43F4-AAFA-B294B20B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4123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2024-01-18T12:26:00Z</dcterms:created>
  <dcterms:modified xsi:type="dcterms:W3CDTF">2024-01-18T12:28:00Z</dcterms:modified>
</cp:coreProperties>
</file>